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C281E" w:rsidTr="007F0952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2C281E" w:rsidRPr="002C281E" w:rsidRDefault="002C281E" w:rsidP="002C281E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2C281E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C281E" w:rsidRPr="002C281E" w:rsidRDefault="00F41F93" w:rsidP="002C281E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03183B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>
                  <wp:extent cx="936625" cy="343535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81E" w:rsidRPr="00C86703" w:rsidTr="002C281E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2C281E" w:rsidRPr="002C281E" w:rsidRDefault="002C281E" w:rsidP="002C281E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2C281E" w:rsidRPr="00B30F70" w:rsidTr="002C281E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2C281E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:rsidR="002C281E" w:rsidRPr="002C281E" w:rsidRDefault="002C281E" w:rsidP="002C281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2C281E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427040">
              <w:rPr>
                <w:rFonts w:ascii="Times New Roman CYR" w:hAnsi="Times New Roman CYR"/>
                <w:i/>
                <w:sz w:val="20"/>
              </w:rPr>
              <w:t xml:space="preserve">ДПО </w:t>
            </w:r>
            <w:r w:rsidR="000C3E4D" w:rsidRPr="002C281E">
              <w:rPr>
                <w:rFonts w:ascii="Times New Roman CYR" w:hAnsi="Times New Roman CYR"/>
                <w:i/>
                <w:sz w:val="20"/>
              </w:rPr>
              <w:t>«</w:t>
            </w:r>
            <w:r w:rsidRPr="002C281E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:rsidR="002C281E" w:rsidRPr="002C281E" w:rsidRDefault="002C281E" w:rsidP="008707AE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2C281E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:rsidR="002C281E" w:rsidRPr="00E47852" w:rsidRDefault="002C281E" w:rsidP="00640EA6">
      <w:pPr>
        <w:ind w:left="709" w:hanging="709"/>
      </w:pPr>
    </w:p>
    <w:p w:rsidR="00CC19E6" w:rsidRPr="0044382E" w:rsidRDefault="00CC19E6" w:rsidP="00640EA6">
      <w:pPr>
        <w:pStyle w:val="1"/>
        <w:rPr>
          <w:rFonts w:ascii="Times New Roman CYR" w:hAnsi="Times New Roman CYR"/>
          <w:color w:val="000000"/>
        </w:rPr>
      </w:pPr>
      <w:r w:rsidRPr="0044382E">
        <w:rPr>
          <w:rFonts w:ascii="Times New Roman CYR" w:hAnsi="Times New Roman CYR"/>
          <w:color w:val="000000"/>
        </w:rPr>
        <w:t>Программа спецкурса</w:t>
      </w:r>
    </w:p>
    <w:p w:rsidR="00CC19E6" w:rsidRPr="0064793F" w:rsidRDefault="00CC19E6" w:rsidP="00CE2117">
      <w:pPr>
        <w:pStyle w:val="23"/>
        <w:ind w:left="-57" w:right="-57"/>
        <w:rPr>
          <w:rFonts w:ascii="Times New Roman" w:hAnsi="Times New Roman"/>
          <w:spacing w:val="-4"/>
          <w:sz w:val="40"/>
          <w:szCs w:val="40"/>
        </w:rPr>
      </w:pPr>
      <w:r w:rsidRPr="00F14AB0">
        <w:rPr>
          <w:rFonts w:ascii="Times New Roman" w:hAnsi="Times New Roman"/>
          <w:sz w:val="40"/>
          <w:szCs w:val="40"/>
        </w:rPr>
        <w:t>«</w:t>
      </w:r>
      <w:r w:rsidR="00427040" w:rsidRPr="00F14AB0">
        <w:rPr>
          <w:rFonts w:ascii="Times New Roman" w:hAnsi="Times New Roman"/>
          <w:spacing w:val="-4"/>
          <w:sz w:val="40"/>
          <w:szCs w:val="40"/>
        </w:rPr>
        <w:t>Внутренний контроль в ауди</w:t>
      </w:r>
      <w:bookmarkStart w:id="0" w:name="_GoBack"/>
      <w:bookmarkEnd w:id="0"/>
      <w:r w:rsidR="00427040" w:rsidRPr="00F14AB0">
        <w:rPr>
          <w:rFonts w:ascii="Times New Roman" w:hAnsi="Times New Roman"/>
          <w:spacing w:val="-4"/>
          <w:sz w:val="40"/>
          <w:szCs w:val="40"/>
        </w:rPr>
        <w:t>торской организации</w:t>
      </w:r>
      <w:r w:rsidR="004233E6" w:rsidRPr="00F14AB0">
        <w:rPr>
          <w:rFonts w:ascii="Times New Roman" w:hAnsi="Times New Roman"/>
          <w:spacing w:val="-4"/>
          <w:sz w:val="40"/>
          <w:szCs w:val="40"/>
        </w:rPr>
        <w:t xml:space="preserve">. Внешний контроль </w:t>
      </w:r>
      <w:r w:rsidR="00CE2117">
        <w:rPr>
          <w:rFonts w:ascii="Times New Roman" w:hAnsi="Times New Roman"/>
          <w:spacing w:val="-4"/>
          <w:sz w:val="40"/>
          <w:szCs w:val="40"/>
        </w:rPr>
        <w:t>деятельности</w:t>
      </w:r>
      <w:r w:rsidRPr="00F14AB0">
        <w:rPr>
          <w:rFonts w:ascii="Times New Roman" w:hAnsi="Times New Roman"/>
          <w:sz w:val="40"/>
          <w:szCs w:val="40"/>
        </w:rPr>
        <w:t>»</w:t>
      </w:r>
    </w:p>
    <w:p w:rsidR="00CC19E6" w:rsidRPr="00F14AB0" w:rsidRDefault="00CC19E6" w:rsidP="00640EA6">
      <w:pPr>
        <w:jc w:val="center"/>
        <w:rPr>
          <w:sz w:val="22"/>
          <w:szCs w:val="22"/>
        </w:rPr>
      </w:pPr>
    </w:p>
    <w:p w:rsidR="00CC19E6" w:rsidRDefault="00816F0D" w:rsidP="00640EA6">
      <w:pPr>
        <w:ind w:right="113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i/>
          <w:sz w:val="32"/>
        </w:rPr>
        <w:t>(</w:t>
      </w:r>
      <w:r w:rsidR="004233E6">
        <w:rPr>
          <w:rFonts w:ascii="Times New Roman CYR" w:hAnsi="Times New Roman CYR"/>
          <w:b/>
          <w:i/>
          <w:sz w:val="32"/>
        </w:rPr>
        <w:t>20</w:t>
      </w:r>
      <w:r w:rsidR="00CC19E6">
        <w:rPr>
          <w:rFonts w:ascii="Times New Roman CYR" w:hAnsi="Times New Roman CYR"/>
          <w:b/>
          <w:i/>
          <w:sz w:val="32"/>
        </w:rPr>
        <w:t xml:space="preserve"> </w:t>
      </w:r>
      <w:r w:rsidR="002F3888">
        <w:rPr>
          <w:rFonts w:ascii="Times New Roman CYR" w:hAnsi="Times New Roman CYR"/>
          <w:b/>
          <w:i/>
          <w:sz w:val="32"/>
        </w:rPr>
        <w:t>академических</w:t>
      </w:r>
      <w:r w:rsidR="00CC19E6">
        <w:rPr>
          <w:rFonts w:ascii="Times New Roman CYR" w:hAnsi="Times New Roman CYR"/>
          <w:b/>
          <w:i/>
          <w:sz w:val="32"/>
        </w:rPr>
        <w:t xml:space="preserve"> час</w:t>
      </w:r>
      <w:r w:rsidR="004A70F5">
        <w:rPr>
          <w:rFonts w:ascii="Times New Roman CYR" w:hAnsi="Times New Roman CYR"/>
          <w:b/>
          <w:i/>
          <w:sz w:val="32"/>
        </w:rPr>
        <w:t>ов</w:t>
      </w:r>
      <w:r w:rsidR="00CC19E6">
        <w:rPr>
          <w:rFonts w:ascii="Times New Roman CYR" w:hAnsi="Times New Roman CYR"/>
          <w:b/>
          <w:i/>
          <w:sz w:val="32"/>
        </w:rPr>
        <w:t>)</w:t>
      </w:r>
    </w:p>
    <w:p w:rsidR="00713194" w:rsidRPr="00677449" w:rsidRDefault="00713194" w:rsidP="00640E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A4E5B" w:rsidRPr="00677449" w:rsidRDefault="00713194" w:rsidP="00640EA6">
      <w:pPr>
        <w:pStyle w:val="a8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77449">
        <w:rPr>
          <w:b/>
          <w:sz w:val="21"/>
          <w:szCs w:val="21"/>
        </w:rPr>
        <w:t xml:space="preserve">Тема </w:t>
      </w:r>
      <w:r w:rsidR="00C71C59" w:rsidRPr="00677449">
        <w:rPr>
          <w:b/>
          <w:sz w:val="21"/>
          <w:szCs w:val="21"/>
        </w:rPr>
        <w:t>1</w:t>
      </w:r>
      <w:r w:rsidRPr="00677449">
        <w:rPr>
          <w:b/>
          <w:sz w:val="21"/>
          <w:szCs w:val="21"/>
        </w:rPr>
        <w:t xml:space="preserve">. </w:t>
      </w:r>
      <w:r w:rsidR="002A4E5B" w:rsidRPr="00677449">
        <w:rPr>
          <w:b/>
          <w:sz w:val="21"/>
          <w:szCs w:val="21"/>
        </w:rPr>
        <w:t>Регулирование организации внутреннего контроля в законодательстве РФ</w:t>
      </w:r>
    </w:p>
    <w:p w:rsidR="002A4E5B" w:rsidRPr="00677449" w:rsidRDefault="002A4E5B" w:rsidP="009C31C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Обязанности аудиторской организации по установлению правил внутреннего контроля качества работы. Требования к правилам внутреннего контроля качества работы. </w:t>
      </w:r>
    </w:p>
    <w:p w:rsidR="00DF55A2" w:rsidRPr="00677449" w:rsidRDefault="00DF55A2" w:rsidP="00640EA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13194" w:rsidRPr="00677449" w:rsidRDefault="002A4E5B" w:rsidP="00640EA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 xml:space="preserve">Тема </w:t>
      </w:r>
      <w:r w:rsidR="00C71C59" w:rsidRPr="00677449">
        <w:rPr>
          <w:b/>
          <w:color w:val="000000"/>
          <w:sz w:val="21"/>
          <w:szCs w:val="21"/>
        </w:rPr>
        <w:t>2</w:t>
      </w:r>
      <w:r w:rsidRPr="00677449">
        <w:rPr>
          <w:b/>
          <w:color w:val="000000"/>
          <w:sz w:val="21"/>
          <w:szCs w:val="21"/>
        </w:rPr>
        <w:t xml:space="preserve">. </w:t>
      </w:r>
      <w:r w:rsidR="00713194" w:rsidRPr="00677449">
        <w:rPr>
          <w:b/>
          <w:color w:val="000000"/>
          <w:sz w:val="21"/>
          <w:szCs w:val="21"/>
        </w:rPr>
        <w:t>Международный стандарт контроля качества (МСКК) 1</w:t>
      </w:r>
      <w:r w:rsidRPr="00677449">
        <w:rPr>
          <w:b/>
          <w:color w:val="000000"/>
          <w:sz w:val="21"/>
          <w:szCs w:val="21"/>
        </w:rPr>
        <w:t>. Общие положения</w:t>
      </w:r>
      <w:r w:rsidR="00713194" w:rsidRPr="00677449">
        <w:rPr>
          <w:b/>
          <w:color w:val="000000"/>
          <w:sz w:val="21"/>
          <w:szCs w:val="21"/>
        </w:rPr>
        <w:t>.</w:t>
      </w:r>
    </w:p>
    <w:p w:rsidR="00DF55A2" w:rsidRPr="00677449" w:rsidRDefault="00DF55A2" w:rsidP="008707A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Сфера применения и порядок применения МСКК 1. </w:t>
      </w:r>
    </w:p>
    <w:p w:rsidR="00DF55A2" w:rsidRPr="00677449" w:rsidRDefault="00DF55A2" w:rsidP="008707A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Цель и применяемая терминология: проверка качества выполнения задания, руководитель задания, аудиторская группа, мониторинг, сеть аудиторских организаций и т.д.</w:t>
      </w:r>
    </w:p>
    <w:p w:rsidR="00DF55A2" w:rsidRPr="00677449" w:rsidRDefault="00DF55A2" w:rsidP="008707A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Элементы системы внутреннего контроля: ответственность руководства за качество в аудиторской организации, соответствующие этические требования, принятие и продолжение отношений с клиентами, принятие и выполнение конкретных заданий, кадровые ресурсы, выполнение задания, мониторинг.</w:t>
      </w:r>
    </w:p>
    <w:p w:rsidR="00DF55A2" w:rsidRPr="00677449" w:rsidRDefault="00B4361F" w:rsidP="008707A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Документирование действующей системы внутреннего контроля качества аудиторской организации</w:t>
      </w:r>
    </w:p>
    <w:p w:rsidR="00B4361F" w:rsidRPr="00677449" w:rsidRDefault="00B4361F" w:rsidP="007A481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DF55A2" w:rsidRPr="00677449" w:rsidRDefault="00DF55A2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 xml:space="preserve">Тема </w:t>
      </w:r>
      <w:r w:rsidR="00C71C59" w:rsidRPr="00677449">
        <w:rPr>
          <w:b/>
          <w:color w:val="000000"/>
          <w:sz w:val="21"/>
          <w:szCs w:val="21"/>
        </w:rPr>
        <w:t>3</w:t>
      </w:r>
      <w:r w:rsidRPr="00677449">
        <w:rPr>
          <w:b/>
          <w:color w:val="000000"/>
          <w:sz w:val="21"/>
          <w:szCs w:val="21"/>
        </w:rPr>
        <w:t>. Ответственность руководства за качество в аудиторской организации</w:t>
      </w:r>
    </w:p>
    <w:p w:rsidR="00DF55A2" w:rsidRPr="00677449" w:rsidRDefault="008C43BE" w:rsidP="008707A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Политика и процедуры аудиторской организации по развитию корпоративной культуры, предусматривающие первоочередное значение качества работы. Необходимость принятия генеральным директором на себя конечной ответственности за организацию системы внутреннего контроля. </w:t>
      </w:r>
    </w:p>
    <w:p w:rsidR="008C43BE" w:rsidRPr="00677449" w:rsidRDefault="008C43BE" w:rsidP="008707AE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Ответственность за оперативное управление системой контроля качества. Требования к лицам, на которых возложена такая ответственность.</w:t>
      </w:r>
    </w:p>
    <w:p w:rsidR="008C43BE" w:rsidRPr="00677449" w:rsidRDefault="008C43BE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DF55A2" w:rsidRPr="00677449" w:rsidRDefault="00DF55A2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 xml:space="preserve">Тема </w:t>
      </w:r>
      <w:r w:rsidR="00F73BAA" w:rsidRPr="00677449">
        <w:rPr>
          <w:b/>
          <w:color w:val="000000"/>
          <w:sz w:val="21"/>
          <w:szCs w:val="21"/>
        </w:rPr>
        <w:t>4</w:t>
      </w:r>
      <w:r w:rsidRPr="00677449">
        <w:rPr>
          <w:b/>
          <w:color w:val="000000"/>
          <w:sz w:val="21"/>
          <w:szCs w:val="21"/>
        </w:rPr>
        <w:t>. Этические требования</w:t>
      </w:r>
    </w:p>
    <w:p w:rsidR="008C43BE" w:rsidRPr="00677449" w:rsidRDefault="008C43BE" w:rsidP="008707A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Основополагающие принципы профессиональной этики: четность, объективность, профессиональная компетентность и должная тщательность, конфиденциальность, профессиональное поведение.</w:t>
      </w:r>
    </w:p>
    <w:p w:rsidR="00DF55A2" w:rsidRPr="00677449" w:rsidRDefault="008C43BE" w:rsidP="008707A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Взаимосвязь требований МСКК 1, Кодекса профессиональной этики аудиторов и Правил независимости. Применение концептуального подхода к выявлению и оценке угроз соблюдению этических принципов, включая независимость, а также принятию адекватных мер предосторожности для снижения или устранения выявленных значимых угроз.</w:t>
      </w:r>
    </w:p>
    <w:p w:rsidR="008C43BE" w:rsidRPr="00677449" w:rsidRDefault="008C43BE" w:rsidP="008707A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Политики и процедуры по сохранению независимости. Независимость мышления и независимость поведения.</w:t>
      </w:r>
      <w:r w:rsidR="006F476A" w:rsidRPr="00677449">
        <w:rPr>
          <w:color w:val="000000"/>
          <w:sz w:val="21"/>
          <w:szCs w:val="21"/>
        </w:rPr>
        <w:t xml:space="preserve"> Письменные подтверждения соблюдения политики независимости в аудиторской организации.</w:t>
      </w:r>
    </w:p>
    <w:p w:rsidR="006F476A" w:rsidRPr="00677449" w:rsidRDefault="006F476A" w:rsidP="008707A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Ротация руководителя аудиторского задания и других ключевых участников группы при длительных взаимоотношениях с аудируемым лицом.</w:t>
      </w:r>
    </w:p>
    <w:p w:rsidR="006F476A" w:rsidRPr="00677449" w:rsidRDefault="006F476A" w:rsidP="007A481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DF55A2" w:rsidRPr="00677449" w:rsidRDefault="00DF55A2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 xml:space="preserve">Тема </w:t>
      </w:r>
      <w:r w:rsidR="00F73BAA" w:rsidRPr="00677449">
        <w:rPr>
          <w:b/>
          <w:color w:val="000000"/>
          <w:sz w:val="21"/>
          <w:szCs w:val="21"/>
        </w:rPr>
        <w:t>5</w:t>
      </w:r>
      <w:r w:rsidRPr="00677449">
        <w:rPr>
          <w:b/>
          <w:color w:val="000000"/>
          <w:sz w:val="21"/>
          <w:szCs w:val="21"/>
        </w:rPr>
        <w:t>. Принятие и продолжение отношений с клиентами, принятие и выполнение конкретных заданий</w:t>
      </w:r>
    </w:p>
    <w:p w:rsidR="009E0A3A" w:rsidRPr="00677449" w:rsidRDefault="009E0A3A" w:rsidP="008707A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Политика и процедуры аудиторской организации по принятию и продолжению отношений с клиентами, принятию и выполнению конкретных заданий. Анализ честности руководства клиента. Оценка компетентности аудиторской организации для выполнения конкретного задания, включая время и ресурсы. Выполнение соответствующих этических требований</w:t>
      </w:r>
    </w:p>
    <w:p w:rsidR="009E0A3A" w:rsidRPr="00677449" w:rsidRDefault="009E0A3A" w:rsidP="008707A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Целесообразность принятия нового задания и продолжения существующего задания, конфликт интересов, возможность отказа от выполнения задания или отказа от </w:t>
      </w:r>
      <w:r w:rsidR="007B0B26" w:rsidRPr="00677449">
        <w:rPr>
          <w:color w:val="000000"/>
          <w:sz w:val="21"/>
          <w:szCs w:val="21"/>
        </w:rPr>
        <w:t>выполнения задания.</w:t>
      </w:r>
    </w:p>
    <w:p w:rsidR="007B0B26" w:rsidRPr="00677449" w:rsidRDefault="007B0B26" w:rsidP="008707AE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Принятие и продолжение отношений с клиентами, принятие и выполнение аудиторских заданий как часть процесса планирования аудита и оценки рисков существенн</w:t>
      </w:r>
      <w:r w:rsidR="008707AE" w:rsidRPr="00677449">
        <w:rPr>
          <w:color w:val="000000"/>
          <w:sz w:val="21"/>
          <w:szCs w:val="21"/>
        </w:rPr>
        <w:t xml:space="preserve">ых искажений. </w:t>
      </w:r>
    </w:p>
    <w:p w:rsidR="007B0B26" w:rsidRPr="00677449" w:rsidRDefault="007B0B26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DF55A2" w:rsidRPr="00677449" w:rsidRDefault="00DF55A2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 xml:space="preserve">Тема </w:t>
      </w:r>
      <w:r w:rsidR="00F73BAA" w:rsidRPr="00677449">
        <w:rPr>
          <w:b/>
          <w:color w:val="000000"/>
          <w:sz w:val="21"/>
          <w:szCs w:val="21"/>
        </w:rPr>
        <w:t>6</w:t>
      </w:r>
      <w:r w:rsidRPr="00677449">
        <w:rPr>
          <w:b/>
          <w:color w:val="000000"/>
          <w:sz w:val="21"/>
          <w:szCs w:val="21"/>
        </w:rPr>
        <w:t>. Кадровые ресурсы</w:t>
      </w:r>
    </w:p>
    <w:p w:rsidR="00DF55A2" w:rsidRPr="00677449" w:rsidRDefault="007B0B26" w:rsidP="009C31C9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Политика и процедуры, связанные с сотрудниками, в отношении набора персонала, оценки результатов работы, способностей, включая время на выполнение текущих поручений, компетентности, развития </w:t>
      </w:r>
      <w:r w:rsidRPr="00677449">
        <w:rPr>
          <w:color w:val="000000"/>
          <w:sz w:val="21"/>
          <w:szCs w:val="21"/>
        </w:rPr>
        <w:lastRenderedPageBreak/>
        <w:t>карьеры, продвижения по службе, вознаграждения, оценки потребностей сотрудников. Повышение уровня подготовки, непрерывное поддержание компетентности сотрудников как основа для оказания услуг надлежащего качества.</w:t>
      </w:r>
    </w:p>
    <w:p w:rsidR="007B0B26" w:rsidRPr="00677449" w:rsidRDefault="007B0B26" w:rsidP="009C31C9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Назначение аудиторских групп. Возложение ответственности </w:t>
      </w:r>
      <w:r w:rsidR="005E2D83" w:rsidRPr="00677449">
        <w:rPr>
          <w:color w:val="000000"/>
          <w:sz w:val="21"/>
          <w:szCs w:val="21"/>
        </w:rPr>
        <w:t>за каждое задание на руководителя задания.</w:t>
      </w:r>
    </w:p>
    <w:p w:rsidR="007B0B26" w:rsidRPr="00677449" w:rsidRDefault="007B0B26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DF55A2" w:rsidRPr="00677449" w:rsidRDefault="00DF55A2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 xml:space="preserve">Тема </w:t>
      </w:r>
      <w:r w:rsidR="00171426" w:rsidRPr="00677449">
        <w:rPr>
          <w:b/>
          <w:color w:val="000000"/>
          <w:sz w:val="21"/>
          <w:szCs w:val="21"/>
        </w:rPr>
        <w:t>7</w:t>
      </w:r>
      <w:r w:rsidRPr="00677449">
        <w:rPr>
          <w:b/>
          <w:color w:val="000000"/>
          <w:sz w:val="21"/>
          <w:szCs w:val="21"/>
        </w:rPr>
        <w:t>. Выполнение задания</w:t>
      </w:r>
    </w:p>
    <w:p w:rsidR="00DF55A2" w:rsidRPr="00677449" w:rsidRDefault="00A274F7" w:rsidP="009C31C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Ответственность за проверку результатов работы: необходимость проверки работы менее опытных членов аудиторской группы более опытными ее членами.</w:t>
      </w:r>
    </w:p>
    <w:p w:rsidR="00A274F7" w:rsidRPr="00677449" w:rsidRDefault="00A274F7" w:rsidP="009C31C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Консультации по сложным и спорным вопросам.</w:t>
      </w:r>
    </w:p>
    <w:p w:rsidR="00A274F7" w:rsidRPr="00677449" w:rsidRDefault="00A274F7" w:rsidP="009C31C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Проверка качества выполнения задания. Обязательные проверки и критерии остальных проверок качества выполнения задания. Характер, сроки и объем проверки качества выполнения задания. Назначение лиц, осуществляющих проверку качества выполнения задания и определения их соответствия установленным критериям. Объективность лица, осуществляющего проверку качества выполнения задания, возможность его замены.</w:t>
      </w:r>
    </w:p>
    <w:p w:rsidR="00A274F7" w:rsidRPr="00677449" w:rsidRDefault="00A274F7" w:rsidP="009C31C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Документирование проверки качества выполнения задания.</w:t>
      </w:r>
    </w:p>
    <w:p w:rsidR="00A274F7" w:rsidRPr="00677449" w:rsidRDefault="00A274F7" w:rsidP="009C31C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Расхождения во мнениях. </w:t>
      </w:r>
    </w:p>
    <w:p w:rsidR="00A274F7" w:rsidRPr="00677449" w:rsidRDefault="00A274F7" w:rsidP="009C31C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Документация по заданию. Завершение формирования окончательных файлов по заданию. Конфиденциальность, надежное хранение, целостность, доступность и возможность извлечения документации по заданию</w:t>
      </w:r>
    </w:p>
    <w:p w:rsidR="00A274F7" w:rsidRPr="00677449" w:rsidRDefault="00A274F7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DF55A2" w:rsidRPr="00677449" w:rsidRDefault="00D75E79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>Тема 8</w:t>
      </w:r>
      <w:r w:rsidR="00DF55A2" w:rsidRPr="00677449">
        <w:rPr>
          <w:b/>
          <w:color w:val="000000"/>
          <w:sz w:val="21"/>
          <w:szCs w:val="21"/>
        </w:rPr>
        <w:t>. Мониторинг</w:t>
      </w:r>
    </w:p>
    <w:p w:rsidR="001E1003" w:rsidRPr="00677449" w:rsidRDefault="001E1003" w:rsidP="009C31C9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Мониторинг политики и процедур контроля качества аудиторской организации. Оценка выявленных недостатков, сообщение о них и их устранение.</w:t>
      </w:r>
    </w:p>
    <w:p w:rsidR="001E1003" w:rsidRPr="00677449" w:rsidRDefault="001E1003" w:rsidP="009C31C9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Жалобы и заявления.</w:t>
      </w:r>
    </w:p>
    <w:p w:rsidR="00DF55A2" w:rsidRPr="00677449" w:rsidRDefault="001E1003" w:rsidP="009C31C9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Документация системы контроля качества.</w:t>
      </w:r>
    </w:p>
    <w:p w:rsidR="001E1003" w:rsidRPr="00677449" w:rsidRDefault="001E1003" w:rsidP="001E100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</w:p>
    <w:p w:rsidR="00DF55A2" w:rsidRPr="00677449" w:rsidRDefault="00D75E79" w:rsidP="00DF55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677449">
        <w:rPr>
          <w:b/>
          <w:color w:val="000000"/>
          <w:sz w:val="21"/>
          <w:szCs w:val="21"/>
        </w:rPr>
        <w:t>Тема 9</w:t>
      </w:r>
      <w:r w:rsidR="00DF55A2" w:rsidRPr="00677449">
        <w:rPr>
          <w:b/>
          <w:color w:val="000000"/>
          <w:sz w:val="21"/>
          <w:szCs w:val="21"/>
        </w:rPr>
        <w:t>. Особенности организации выполнения аудиторского задания</w:t>
      </w:r>
    </w:p>
    <w:p w:rsidR="00713194" w:rsidRPr="00677449" w:rsidRDefault="00713194" w:rsidP="009C31C9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 xml:space="preserve">МСА 220 «Контроль качества аудита финансовой отчетности». </w:t>
      </w:r>
      <w:r w:rsidR="00B4361F" w:rsidRPr="00677449">
        <w:rPr>
          <w:color w:val="000000"/>
          <w:sz w:val="21"/>
          <w:szCs w:val="21"/>
        </w:rPr>
        <w:t xml:space="preserve">Сфера применения. Роль аудиторских групп в системе контроля качества выполнения задания. </w:t>
      </w:r>
    </w:p>
    <w:p w:rsidR="00B4361F" w:rsidRPr="00677449" w:rsidRDefault="00B4361F" w:rsidP="009C31C9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Элементы системы внутреннего контроля в части организации контроля за выполнением задания: ответственность руководителя за качество аудита, этические требования, включая независимость, принятие и продолжение отношений с клиентом, принятие и выполнение задания, назначение аудиторских групп, выполнение задания и мониторинг.</w:t>
      </w:r>
    </w:p>
    <w:p w:rsidR="00B4361F" w:rsidRPr="00677449" w:rsidRDefault="00B4361F" w:rsidP="009C31C9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77449">
        <w:rPr>
          <w:color w:val="000000"/>
          <w:sz w:val="21"/>
          <w:szCs w:val="21"/>
        </w:rPr>
        <w:t>Документирование процедур контроля качества в ходе проведения аудита.</w:t>
      </w:r>
    </w:p>
    <w:p w:rsidR="004233E6" w:rsidRPr="00677449" w:rsidRDefault="004233E6" w:rsidP="004233E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4233E6" w:rsidRPr="00677449" w:rsidRDefault="004233E6" w:rsidP="004233E6">
      <w:pPr>
        <w:rPr>
          <w:b/>
          <w:sz w:val="21"/>
          <w:szCs w:val="21"/>
        </w:rPr>
      </w:pPr>
      <w:r w:rsidRPr="00677449">
        <w:rPr>
          <w:b/>
          <w:sz w:val="21"/>
          <w:szCs w:val="21"/>
        </w:rPr>
        <w:t>Тема 1</w:t>
      </w:r>
      <w:r w:rsidR="0072020C" w:rsidRPr="00677449">
        <w:rPr>
          <w:b/>
          <w:sz w:val="21"/>
          <w:szCs w:val="21"/>
        </w:rPr>
        <w:t>0</w:t>
      </w:r>
      <w:r w:rsidRPr="00677449">
        <w:rPr>
          <w:b/>
          <w:sz w:val="21"/>
          <w:szCs w:val="21"/>
        </w:rPr>
        <w:t xml:space="preserve">. Внешний контроль </w:t>
      </w:r>
      <w:r w:rsidR="00CE2117" w:rsidRPr="00677449">
        <w:rPr>
          <w:b/>
          <w:sz w:val="21"/>
          <w:szCs w:val="21"/>
        </w:rPr>
        <w:t>деятельности</w:t>
      </w:r>
      <w:r w:rsidR="00801804">
        <w:rPr>
          <w:b/>
          <w:sz w:val="21"/>
          <w:szCs w:val="21"/>
        </w:rPr>
        <w:t xml:space="preserve"> аудиторской организации</w:t>
      </w:r>
    </w:p>
    <w:p w:rsidR="004233E6" w:rsidRPr="00677449" w:rsidRDefault="004233E6" w:rsidP="0064793F">
      <w:pPr>
        <w:numPr>
          <w:ilvl w:val="0"/>
          <w:numId w:val="15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677449">
        <w:rPr>
          <w:sz w:val="21"/>
          <w:szCs w:val="21"/>
        </w:rPr>
        <w:t xml:space="preserve">Нормативно-правовое регулирование внешнего контроля </w:t>
      </w:r>
      <w:r w:rsidR="00CE2117" w:rsidRPr="00677449">
        <w:rPr>
          <w:sz w:val="21"/>
          <w:szCs w:val="21"/>
        </w:rPr>
        <w:t>деятельности</w:t>
      </w:r>
      <w:r w:rsidRPr="00677449">
        <w:rPr>
          <w:sz w:val="21"/>
          <w:szCs w:val="21"/>
        </w:rPr>
        <w:t>: Федеральны</w:t>
      </w:r>
      <w:r w:rsidR="00CE2117" w:rsidRPr="00677449">
        <w:rPr>
          <w:sz w:val="21"/>
          <w:szCs w:val="21"/>
        </w:rPr>
        <w:t>е</w:t>
      </w:r>
      <w:r w:rsidRPr="00677449">
        <w:rPr>
          <w:sz w:val="21"/>
          <w:szCs w:val="21"/>
        </w:rPr>
        <w:t xml:space="preserve"> закон</w:t>
      </w:r>
      <w:r w:rsidR="00CE2117" w:rsidRPr="00677449">
        <w:rPr>
          <w:sz w:val="21"/>
          <w:szCs w:val="21"/>
        </w:rPr>
        <w:t>ы</w:t>
      </w:r>
      <w:r w:rsidR="0064793F" w:rsidRPr="00677449">
        <w:rPr>
          <w:sz w:val="21"/>
          <w:szCs w:val="21"/>
        </w:rPr>
        <w:t xml:space="preserve"> "Об </w:t>
      </w:r>
      <w:r w:rsidRPr="00677449">
        <w:rPr>
          <w:sz w:val="21"/>
          <w:szCs w:val="21"/>
        </w:rPr>
        <w:t xml:space="preserve">аудиторской деятельности", </w:t>
      </w:r>
      <w:r w:rsidR="00CE2117" w:rsidRPr="00677449">
        <w:rPr>
          <w:sz w:val="21"/>
          <w:szCs w:val="21"/>
        </w:rPr>
        <w:t>"О государственном контроле (надзоре) и муниципальном контроле в Российской Федерации", Постановление Правительства РФ от 25 июня 2021 г. N 1009</w:t>
      </w:r>
      <w:r w:rsidRPr="00677449">
        <w:rPr>
          <w:sz w:val="21"/>
          <w:szCs w:val="21"/>
        </w:rPr>
        <w:t>, локальные акты субъектов внешнего контроля. Предмет внешнего контроля, принципы осуществления внешнего контроля, виды и формы внешних проверок.</w:t>
      </w:r>
    </w:p>
    <w:p w:rsidR="004233E6" w:rsidRPr="00677449" w:rsidRDefault="004233E6" w:rsidP="0064793F">
      <w:pPr>
        <w:numPr>
          <w:ilvl w:val="0"/>
          <w:numId w:val="15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677449">
        <w:rPr>
          <w:sz w:val="21"/>
          <w:szCs w:val="21"/>
        </w:rPr>
        <w:t xml:space="preserve">Внешний контроль </w:t>
      </w:r>
      <w:r w:rsidR="00CE2117" w:rsidRPr="00677449">
        <w:rPr>
          <w:sz w:val="21"/>
          <w:szCs w:val="21"/>
        </w:rPr>
        <w:t>деятельности</w:t>
      </w:r>
      <w:r w:rsidRPr="00677449">
        <w:rPr>
          <w:sz w:val="21"/>
          <w:szCs w:val="21"/>
        </w:rPr>
        <w:t xml:space="preserve"> аудиторских организаций, осуществляемый уполномоченным федеральным органом по контролю и надзору: объекты контроля, периодичность плановых проверок, основания проведения внеплановых проверок, продолжительность проверок, меры воздействия.</w:t>
      </w:r>
      <w:r w:rsidR="00CE2117" w:rsidRPr="00677449">
        <w:rPr>
          <w:sz w:val="21"/>
          <w:szCs w:val="21"/>
        </w:rPr>
        <w:t xml:space="preserve"> Планирование проверок на основании оценки рисков причинения вреда (ущерба) охраняемым законом ценностям. Порядок осуществления информационного обмена при проведении внешних проверок деятельности уполномоченным </w:t>
      </w:r>
      <w:r w:rsidR="00C47B19" w:rsidRPr="00677449">
        <w:rPr>
          <w:sz w:val="21"/>
          <w:szCs w:val="21"/>
        </w:rPr>
        <w:t xml:space="preserve">федеральным органом по контролю и надзору. Ежегодные доклады с результатами обобщения правоприменительной практики. </w:t>
      </w:r>
    </w:p>
    <w:p w:rsidR="004233E6" w:rsidRPr="00677449" w:rsidRDefault="004233E6" w:rsidP="00F14AB0">
      <w:pPr>
        <w:numPr>
          <w:ilvl w:val="0"/>
          <w:numId w:val="15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677449">
        <w:rPr>
          <w:sz w:val="21"/>
          <w:szCs w:val="21"/>
        </w:rPr>
        <w:t>Внешний контроль, осуществляемый саморегулируемой организацией аудиторов: объекты контроля, периодичность внешних проверок, подходы к планированию проверок, основания проведения внеплановых проверок, ответственность членов СРО за нарушения, выявляемые в ходе внешнего контроля.</w:t>
      </w:r>
    </w:p>
    <w:p w:rsidR="004233E6" w:rsidRPr="00677449" w:rsidRDefault="004233E6" w:rsidP="00F14AB0">
      <w:pPr>
        <w:numPr>
          <w:ilvl w:val="0"/>
          <w:numId w:val="15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677449">
        <w:rPr>
          <w:sz w:val="21"/>
          <w:szCs w:val="21"/>
        </w:rPr>
        <w:t>Уклонение от внешнего контроля: понятие, признаки, ответственность.</w:t>
      </w:r>
    </w:p>
    <w:p w:rsidR="004233E6" w:rsidRPr="00677449" w:rsidRDefault="004233E6" w:rsidP="00F14AB0">
      <w:pPr>
        <w:numPr>
          <w:ilvl w:val="0"/>
          <w:numId w:val="15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677449">
        <w:rPr>
          <w:sz w:val="21"/>
          <w:szCs w:val="21"/>
        </w:rPr>
        <w:t>Взаимодействие уполномоченного федерального органа по контролю и надзору с саморегулируем</w:t>
      </w:r>
      <w:r w:rsidR="00C47B19" w:rsidRPr="00677449">
        <w:rPr>
          <w:sz w:val="21"/>
          <w:szCs w:val="21"/>
        </w:rPr>
        <w:t>ой</w:t>
      </w:r>
      <w:r w:rsidRPr="00677449">
        <w:rPr>
          <w:sz w:val="21"/>
          <w:szCs w:val="21"/>
        </w:rPr>
        <w:t xml:space="preserve"> организаци</w:t>
      </w:r>
      <w:r w:rsidR="00C47B19" w:rsidRPr="00677449">
        <w:rPr>
          <w:sz w:val="21"/>
          <w:szCs w:val="21"/>
        </w:rPr>
        <w:t>ей</w:t>
      </w:r>
      <w:r w:rsidRPr="00677449">
        <w:rPr>
          <w:sz w:val="21"/>
          <w:szCs w:val="21"/>
        </w:rPr>
        <w:t xml:space="preserve"> аудиторов. Профилактика нарушений, выявляемых в ходе внешнего контроля. Совет по организации внешнего контроля. Институт досудебного урегулирования споров – Контрольная комиссия по рассмотрению результатов внешнего контроля. Классификатор нарушений и недостатков, выявляемых в ходе внешнего контроля </w:t>
      </w:r>
      <w:r w:rsidR="00C47B19" w:rsidRPr="00677449">
        <w:rPr>
          <w:sz w:val="21"/>
          <w:szCs w:val="21"/>
        </w:rPr>
        <w:t>деятельности</w:t>
      </w:r>
      <w:r w:rsidRPr="00677449">
        <w:rPr>
          <w:sz w:val="21"/>
          <w:szCs w:val="21"/>
        </w:rPr>
        <w:t xml:space="preserve"> аудиторских организаций, аудиторов.</w:t>
      </w:r>
    </w:p>
    <w:p w:rsidR="00C47B19" w:rsidRPr="00677449" w:rsidRDefault="00C47B19" w:rsidP="0064793F">
      <w:pPr>
        <w:numPr>
          <w:ilvl w:val="0"/>
          <w:numId w:val="15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677449">
        <w:rPr>
          <w:sz w:val="21"/>
          <w:szCs w:val="21"/>
        </w:rPr>
        <w:t>Надзор за деятельностью аудиторских организаций на финансовом рынке, осуществляемый Банком России.</w:t>
      </w:r>
    </w:p>
    <w:p w:rsidR="004233E6" w:rsidRPr="00677449" w:rsidRDefault="004233E6" w:rsidP="004233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sectPr w:rsidR="004233E6" w:rsidRPr="00677449" w:rsidSect="006B1ECA">
      <w:footerReference w:type="default" r:id="rId8"/>
      <w:pgSz w:w="11907" w:h="16840"/>
      <w:pgMar w:top="851" w:right="851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C5" w:rsidRDefault="007A46C5">
      <w:r>
        <w:separator/>
      </w:r>
    </w:p>
  </w:endnote>
  <w:endnote w:type="continuationSeparator" w:id="0">
    <w:p w:rsidR="007A46C5" w:rsidRDefault="007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6D" w:rsidRPr="002C281E" w:rsidRDefault="00F41F93" w:rsidP="002C281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1E" w:rsidRPr="00794B28" w:rsidRDefault="002C281E" w:rsidP="00FB281E">
                            <w:pPr>
                              <w:tabs>
                                <w:tab w:val="left" w:pos="779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http://www.stekaudit.ru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3ejwMAAJ0JAAAOAAAAZHJzL2Uyb0RvYy54bWzMVttunDAQfa/Uf7D8Trgsyy4omyrZS1Qp&#10;bSM1/QAvmIsKNrW9gbTqv3dsA9lNWzVKpao8wIDtYebMOWOfv+mbGt1TISvOVtg/8zCiLOVZxYoV&#10;/nS3c5YYSUVYRmrO6Ao/UInfXLx+dd61CQ14yeuMCgROmEy6doVLpdrEdWVa0obIM95SBoM5Fw1R&#10;8CoKNxOkA+9N7QaeF7kdF1kreEqlhK8bO4gvjP88p6n6kOeSKlSvMMSmzF2Y+17f3YtzkhSCtGWV&#10;DmGQF0TRkIrBTydXG6IIOojqJ1dNlQouea7OUt64PM+rlJocIBvfe5LNteCH1uRSJF3RTjABtE9w&#10;erHb9P39rUBVBrXDiJEGSmT+iuYamq4tEphxLdqP7a2w+YF5w9PPEobdp+P6vbCT0b57xzNwRw6K&#10;G2j6XDTaBSSNelOBh6kCtFcohY/RLA7m4RyjFMaC2FvOhhKlJdRRL/NDHygFo8vFzFYvLbfD6ngR&#10;QI310nC+1IMuSexfTaRDZDotIJt8xFP+HZ4fS9JSUyap0RrwDEY8bypGUWThNBPWzGKZ9mzAEjG+&#10;LgkrqHF199ACbr5JQIcKPu0S/SKhEH/E1g8DwPAYpBHgOJoBfBoiA+wEEElaIdU15Q3SxgrXELUp&#10;G7m/kcpiOU7RVWR8V9U1fCdJzVAH1YJrblZIXleZHtWDUhT7dS3QPdEKNNdQmZNpwHSWGW8lJdl2&#10;sBWpamtDoDXT/iARiGewrMS+xV68XW6XoRMG0dYJvc3GudytQyfa+Yv5ZrZZrzf+dx2aHyZllWWU&#10;6ehGufvh88o/NB4r1EnwEw7uqXdDPgh2fJqggYa2gpaDe5493AqN7cDIf0TN2UjNO02LK96jxRE9&#10;tdSR6uGzJqGpoVX8xNJLIXin6wTCOaGp7RJjks+g6aDleGHcmOqaPvCo5Fn0B6IK6PHPJqrO5qhi&#10;/ymnTpRxIqCduX4W0G/JZyE1O9G32A9C7yqInV20XDjhLpw78cJbOp4fX8WRF8bhZncqE9O67OYM&#10;7H6pTHR3iOd/0RyaSsEhoa4a6PpTByHJ7zrFpHId/qi/8fkrHap+34MKNW+tJJHg0AJhL4GTDRgl&#10;F18x6uCUsMLyy4EIilH9lgH79ZFiNMRo7EeDsBSWrrDCyJprZY8eh1ZURQmerb4Yv4RNMq9Mm32M&#10;4rgvmA0MzgAmjeG8og8Zx+9m/uOp6uIHAAAA//8DAFBLAwQUAAYACAAAACEALlnxt9wAAAAGAQAA&#10;DwAAAGRycy9kb3ducmV2LnhtbEyPQWvCQBSE74X+h+UVequbKNoS8yIibU9SqBaKt2fyTILZtyG7&#10;JvHfdz3V4zDDzDfpajSN6rlztRWEeBKBYsltUUuJ8LP/eHkD5TxJQY0VRriyg1X2+JBSUthBvrnf&#10;+VKFEnEJIVTet4nWLq/YkJvYliV4J9sZ8kF2pS46GkK5afQ0ihbaUC1hoaKWNxXn593FIHwONKxn&#10;8Xu/PZ8218N+/vW7jRnx+WlcL0F5Hv1/GG74AR2ywHS0FymcahDCEY+wmIG6mWHqFdQRYT6NQWep&#10;vsfP/gAAAP//AwBQSwECLQAUAAYACAAAACEAtoM4kv4AAADhAQAAEwAAAAAAAAAAAAAAAAAAAAAA&#10;W0NvbnRlbnRfVHlwZXNdLnhtbFBLAQItABQABgAIAAAAIQA4/SH/1gAAAJQBAAALAAAAAAAAAAAA&#10;AAAAAC8BAABfcmVscy8ucmVsc1BLAQItABQABgAIAAAAIQDnY53ejwMAAJ0JAAAOAAAAAAAAAAAA&#10;AAAAAC4CAABkcnMvZTJvRG9jLnhtbFBLAQItABQABgAIAAAAIQAuWfG33AAAAAYBAAAPAAAAAAAA&#10;AAAAAAAAAOkFAABkcnMvZG93bnJldi54bWxQSwUGAAAAAAQABADzAAAA8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2C281E" w:rsidRPr="00794B28" w:rsidRDefault="002C281E" w:rsidP="00FB281E">
                      <w:pPr>
                        <w:tabs>
                          <w:tab w:val="left" w:pos="7797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http://www.stekaudit.ru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C5" w:rsidRDefault="007A46C5">
      <w:r>
        <w:separator/>
      </w:r>
    </w:p>
  </w:footnote>
  <w:footnote w:type="continuationSeparator" w:id="0">
    <w:p w:rsidR="007A46C5" w:rsidRDefault="007A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0C8"/>
    <w:multiLevelType w:val="hybridMultilevel"/>
    <w:tmpl w:val="7B888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65C47"/>
    <w:multiLevelType w:val="hybridMultilevel"/>
    <w:tmpl w:val="9DDEDB1A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7317"/>
    <w:multiLevelType w:val="hybridMultilevel"/>
    <w:tmpl w:val="3608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B30"/>
    <w:multiLevelType w:val="hybridMultilevel"/>
    <w:tmpl w:val="D3F63CEC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70A6"/>
    <w:multiLevelType w:val="hybridMultilevel"/>
    <w:tmpl w:val="ACE4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33EC"/>
    <w:multiLevelType w:val="hybridMultilevel"/>
    <w:tmpl w:val="69F8BF84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A6843"/>
    <w:multiLevelType w:val="hybridMultilevel"/>
    <w:tmpl w:val="8B6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977AB"/>
    <w:multiLevelType w:val="hybridMultilevel"/>
    <w:tmpl w:val="750CE1F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5A5F"/>
    <w:multiLevelType w:val="hybridMultilevel"/>
    <w:tmpl w:val="7B0E632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26D7"/>
    <w:multiLevelType w:val="hybridMultilevel"/>
    <w:tmpl w:val="69FC69F2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4F8F"/>
    <w:multiLevelType w:val="hybridMultilevel"/>
    <w:tmpl w:val="E654E550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7913"/>
    <w:multiLevelType w:val="hybridMultilevel"/>
    <w:tmpl w:val="9FF042C6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002CA"/>
    <w:multiLevelType w:val="hybridMultilevel"/>
    <w:tmpl w:val="802A3726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AEB"/>
    <w:multiLevelType w:val="hybridMultilevel"/>
    <w:tmpl w:val="5AA24E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D0F1A"/>
    <w:multiLevelType w:val="hybridMultilevel"/>
    <w:tmpl w:val="02862180"/>
    <w:lvl w:ilvl="0" w:tplc="FDC2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074"/>
    <o:shapelayout v:ext="edit">
      <o:rules v:ext="edit">
        <o:r id="V:Rule1" type="connector" idref="#Lin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15B46"/>
    <w:rsid w:val="000258D3"/>
    <w:rsid w:val="0003183B"/>
    <w:rsid w:val="00040B90"/>
    <w:rsid w:val="00054201"/>
    <w:rsid w:val="00086CF6"/>
    <w:rsid w:val="000B736C"/>
    <w:rsid w:val="000C1A55"/>
    <w:rsid w:val="000C3E4D"/>
    <w:rsid w:val="000F419D"/>
    <w:rsid w:val="001077FD"/>
    <w:rsid w:val="00157806"/>
    <w:rsid w:val="00171426"/>
    <w:rsid w:val="00173D0B"/>
    <w:rsid w:val="00194C55"/>
    <w:rsid w:val="001B211A"/>
    <w:rsid w:val="001C0645"/>
    <w:rsid w:val="001C1A23"/>
    <w:rsid w:val="001D6B97"/>
    <w:rsid w:val="001E1003"/>
    <w:rsid w:val="00221D12"/>
    <w:rsid w:val="0024411F"/>
    <w:rsid w:val="0028195B"/>
    <w:rsid w:val="002A4E5B"/>
    <w:rsid w:val="002C281E"/>
    <w:rsid w:val="002E7A5D"/>
    <w:rsid w:val="002F3888"/>
    <w:rsid w:val="00313C57"/>
    <w:rsid w:val="00337461"/>
    <w:rsid w:val="00347176"/>
    <w:rsid w:val="00350964"/>
    <w:rsid w:val="00360E1D"/>
    <w:rsid w:val="00364A4C"/>
    <w:rsid w:val="003A4544"/>
    <w:rsid w:val="003E52FF"/>
    <w:rsid w:val="00416995"/>
    <w:rsid w:val="004233E6"/>
    <w:rsid w:val="00427040"/>
    <w:rsid w:val="0044382E"/>
    <w:rsid w:val="004640A5"/>
    <w:rsid w:val="0047644A"/>
    <w:rsid w:val="00487FFB"/>
    <w:rsid w:val="004A2628"/>
    <w:rsid w:val="004A70F5"/>
    <w:rsid w:val="004E2BC4"/>
    <w:rsid w:val="004F6751"/>
    <w:rsid w:val="004F76E2"/>
    <w:rsid w:val="00503D42"/>
    <w:rsid w:val="00504ECF"/>
    <w:rsid w:val="00506F06"/>
    <w:rsid w:val="00521AE4"/>
    <w:rsid w:val="005361D7"/>
    <w:rsid w:val="005409C0"/>
    <w:rsid w:val="00557CCE"/>
    <w:rsid w:val="00570285"/>
    <w:rsid w:val="0058165D"/>
    <w:rsid w:val="005E2D83"/>
    <w:rsid w:val="005F2CC6"/>
    <w:rsid w:val="005F5A25"/>
    <w:rsid w:val="00601CEA"/>
    <w:rsid w:val="00611BC8"/>
    <w:rsid w:val="00631B1D"/>
    <w:rsid w:val="00640EA6"/>
    <w:rsid w:val="0064793F"/>
    <w:rsid w:val="00672EB8"/>
    <w:rsid w:val="006753BA"/>
    <w:rsid w:val="00677449"/>
    <w:rsid w:val="00686FCC"/>
    <w:rsid w:val="00693268"/>
    <w:rsid w:val="006A6755"/>
    <w:rsid w:val="006B1ECA"/>
    <w:rsid w:val="006C4E4F"/>
    <w:rsid w:val="006F476A"/>
    <w:rsid w:val="006F65DB"/>
    <w:rsid w:val="00713194"/>
    <w:rsid w:val="007151A4"/>
    <w:rsid w:val="0072020C"/>
    <w:rsid w:val="00747AE1"/>
    <w:rsid w:val="00752B79"/>
    <w:rsid w:val="00753CBB"/>
    <w:rsid w:val="007758DF"/>
    <w:rsid w:val="0078237F"/>
    <w:rsid w:val="007A46C5"/>
    <w:rsid w:val="007A4812"/>
    <w:rsid w:val="007B0B26"/>
    <w:rsid w:val="007D5191"/>
    <w:rsid w:val="007F0952"/>
    <w:rsid w:val="00801804"/>
    <w:rsid w:val="00816F0D"/>
    <w:rsid w:val="00820085"/>
    <w:rsid w:val="0084661F"/>
    <w:rsid w:val="008707AE"/>
    <w:rsid w:val="008C2F97"/>
    <w:rsid w:val="008C43BE"/>
    <w:rsid w:val="008D4C5F"/>
    <w:rsid w:val="008D7BE2"/>
    <w:rsid w:val="008E43C2"/>
    <w:rsid w:val="009447C8"/>
    <w:rsid w:val="009A01EC"/>
    <w:rsid w:val="009C31C9"/>
    <w:rsid w:val="009C721F"/>
    <w:rsid w:val="009C7E4B"/>
    <w:rsid w:val="009E0A3A"/>
    <w:rsid w:val="00A274F7"/>
    <w:rsid w:val="00A355D4"/>
    <w:rsid w:val="00A853A8"/>
    <w:rsid w:val="00A8669C"/>
    <w:rsid w:val="00A92225"/>
    <w:rsid w:val="00AF364F"/>
    <w:rsid w:val="00B34D00"/>
    <w:rsid w:val="00B4361F"/>
    <w:rsid w:val="00B949C8"/>
    <w:rsid w:val="00BB62BD"/>
    <w:rsid w:val="00BC6573"/>
    <w:rsid w:val="00BF1CD8"/>
    <w:rsid w:val="00C14CA3"/>
    <w:rsid w:val="00C22839"/>
    <w:rsid w:val="00C47B19"/>
    <w:rsid w:val="00C71C59"/>
    <w:rsid w:val="00C72667"/>
    <w:rsid w:val="00C938F5"/>
    <w:rsid w:val="00C9638E"/>
    <w:rsid w:val="00CA2011"/>
    <w:rsid w:val="00CA70E2"/>
    <w:rsid w:val="00CB578E"/>
    <w:rsid w:val="00CC19E6"/>
    <w:rsid w:val="00CC574C"/>
    <w:rsid w:val="00CD125A"/>
    <w:rsid w:val="00CD7887"/>
    <w:rsid w:val="00CE2117"/>
    <w:rsid w:val="00CE32B7"/>
    <w:rsid w:val="00D02622"/>
    <w:rsid w:val="00D1543C"/>
    <w:rsid w:val="00D3216D"/>
    <w:rsid w:val="00D40D81"/>
    <w:rsid w:val="00D741CD"/>
    <w:rsid w:val="00D75E79"/>
    <w:rsid w:val="00D8422C"/>
    <w:rsid w:val="00D92843"/>
    <w:rsid w:val="00DD2AE2"/>
    <w:rsid w:val="00DE2914"/>
    <w:rsid w:val="00DE3DE4"/>
    <w:rsid w:val="00DF55A2"/>
    <w:rsid w:val="00E243FD"/>
    <w:rsid w:val="00E47852"/>
    <w:rsid w:val="00E71E54"/>
    <w:rsid w:val="00E962B1"/>
    <w:rsid w:val="00EA4E45"/>
    <w:rsid w:val="00EB4A31"/>
    <w:rsid w:val="00EF6F34"/>
    <w:rsid w:val="00F14AB0"/>
    <w:rsid w:val="00F30F9A"/>
    <w:rsid w:val="00F41829"/>
    <w:rsid w:val="00F41F93"/>
    <w:rsid w:val="00F73BAA"/>
    <w:rsid w:val="00F97203"/>
    <w:rsid w:val="00FB281E"/>
    <w:rsid w:val="00FB2A26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C47E91"/>
  <w15:chartTrackingRefBased/>
  <w15:docId w15:val="{44B1ED95-6917-4E84-9F66-CE65DA9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113"/>
      <w:jc w:val="center"/>
      <w:outlineLvl w:val="0"/>
    </w:pPr>
    <w:rPr>
      <w:b/>
      <w:sz w:val="32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21">
    <w:name w:val="Основной текст 21"/>
    <w:basedOn w:val="a"/>
    <w:pPr>
      <w:ind w:firstLine="284"/>
      <w:jc w:val="both"/>
    </w:pPr>
  </w:style>
  <w:style w:type="paragraph" w:customStyle="1" w:styleId="210">
    <w:name w:val="Основной текст с отступом 21"/>
    <w:basedOn w:val="a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pPr>
      <w:ind w:left="567"/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Гиперссылка1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pPr>
      <w:ind w:firstLine="426"/>
      <w:jc w:val="both"/>
    </w:pPr>
  </w:style>
  <w:style w:type="paragraph" w:customStyle="1" w:styleId="23">
    <w:name w:val="Основной текст 23"/>
    <w:basedOn w:val="a"/>
    <w:pPr>
      <w:jc w:val="center"/>
    </w:pPr>
    <w:rPr>
      <w:rFonts w:ascii="Times New Roman CYR" w:hAnsi="Times New Roman CYR"/>
      <w:b/>
      <w:sz w:val="44"/>
    </w:rPr>
  </w:style>
  <w:style w:type="paragraph" w:customStyle="1" w:styleId="12">
    <w:name w:val="Абзац списка1"/>
    <w:basedOn w:val="a"/>
    <w:rsid w:val="003374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752B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752B79"/>
    <w:rPr>
      <w:rFonts w:ascii="Tahoma" w:hAnsi="Tahoma" w:cs="Tahoma"/>
      <w:sz w:val="16"/>
      <w:szCs w:val="16"/>
    </w:rPr>
  </w:style>
  <w:style w:type="character" w:customStyle="1" w:styleId="titledateend">
    <w:name w:val="title_date_end"/>
    <w:rsid w:val="003A4544"/>
  </w:style>
  <w:style w:type="paragraph" w:customStyle="1" w:styleId="doctopic">
    <w:name w:val="doctopic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124171"/>
      <w:sz w:val="22"/>
      <w:szCs w:val="22"/>
    </w:rPr>
  </w:style>
  <w:style w:type="paragraph" w:customStyle="1" w:styleId="western">
    <w:name w:val="western"/>
    <w:basedOn w:val="a"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Normal (Web)"/>
    <w:basedOn w:val="a"/>
    <w:uiPriority w:val="99"/>
    <w:unhideWhenUsed/>
    <w:rsid w:val="007131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9">
    <w:name w:val="Emphasis"/>
    <w:uiPriority w:val="20"/>
    <w:qFormat/>
    <w:rsid w:val="00713194"/>
    <w:rPr>
      <w:i/>
      <w:iCs/>
    </w:rPr>
  </w:style>
  <w:style w:type="character" w:customStyle="1" w:styleId="apple-converted-space">
    <w:name w:val="apple-converted-space"/>
    <w:basedOn w:val="a0"/>
    <w:rsid w:val="00713194"/>
  </w:style>
  <w:style w:type="character" w:styleId="aa">
    <w:name w:val="Hyperlink"/>
    <w:rsid w:val="00640EA6"/>
    <w:rPr>
      <w:color w:val="0000FF"/>
      <w:u w:val="single"/>
    </w:rPr>
  </w:style>
  <w:style w:type="table" w:styleId="ab">
    <w:name w:val="Table Grid"/>
    <w:basedOn w:val="a1"/>
    <w:rsid w:val="002C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4382E"/>
    <w:rPr>
      <w:b/>
      <w:sz w:val="32"/>
    </w:rPr>
  </w:style>
  <w:style w:type="paragraph" w:customStyle="1" w:styleId="230">
    <w:name w:val="Основной текст 23"/>
    <w:basedOn w:val="a"/>
    <w:rsid w:val="0044382E"/>
    <w:pPr>
      <w:jc w:val="center"/>
    </w:pPr>
    <w:rPr>
      <w:rFonts w:ascii="Times New Roman CYR" w:hAnsi="Times New Roman CYR"/>
      <w:b/>
      <w:sz w:val="44"/>
    </w:rPr>
  </w:style>
  <w:style w:type="paragraph" w:styleId="ac">
    <w:name w:val="List Paragraph"/>
    <w:basedOn w:val="a"/>
    <w:uiPriority w:val="34"/>
    <w:qFormat/>
    <w:rsid w:val="009C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856</Words>
  <Characters>6584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Профессиональной подготовки "СТЕК": 953-30-40,  953-50-60</vt:lpstr>
    </vt:vector>
  </TitlesOfParts>
  <Company>stek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Сафронова Анна Михайловна</cp:lastModifiedBy>
  <cp:revision>6</cp:revision>
  <cp:lastPrinted>2020-05-21T18:23:00Z</cp:lastPrinted>
  <dcterms:created xsi:type="dcterms:W3CDTF">2021-10-07T15:58:00Z</dcterms:created>
  <dcterms:modified xsi:type="dcterms:W3CDTF">2021-10-07T16:09:00Z</dcterms:modified>
</cp:coreProperties>
</file>